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Подготовка к мероприятию «Хлеб – всему голова»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«Правила поведения на каникулах»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 xml:space="preserve">Классный час «Защита от гриппа, </w:t>
      </w:r>
      <w:proofErr w:type="spellStart"/>
      <w:r w:rsidRPr="00FA743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A7438">
        <w:rPr>
          <w:rFonts w:ascii="Times New Roman" w:hAnsi="Times New Roman" w:cs="Times New Roman"/>
          <w:sz w:val="28"/>
          <w:szCs w:val="28"/>
        </w:rPr>
        <w:t xml:space="preserve"> и ОРВИ»</w:t>
      </w:r>
      <w:bookmarkStart w:id="0" w:name="_GoBack"/>
      <w:bookmarkEnd w:id="0"/>
    </w:p>
    <w:sectPr w:rsidR="00FA7438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AE48BE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3</cp:revision>
  <dcterms:created xsi:type="dcterms:W3CDTF">2021-10-27T11:10:00Z</dcterms:created>
  <dcterms:modified xsi:type="dcterms:W3CDTF">2021-10-27T11:11:00Z</dcterms:modified>
</cp:coreProperties>
</file>